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77" w:rsidRDefault="00357D77" w:rsidP="00357D7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357D77" w:rsidTr="00FE5AC0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7D77" w:rsidRDefault="00357D77" w:rsidP="00FE5AC0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357D77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357D77" w:rsidRPr="00A4411B" w:rsidTr="00FE5AC0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57D77" w:rsidRPr="00A4411B" w:rsidRDefault="00357D77" w:rsidP="00357D77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</w:p>
          <w:p w:rsidR="00357D77" w:rsidRPr="00A4411B" w:rsidRDefault="00357D77" w:rsidP="00FE5A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proofErr w:type="gramStart"/>
            <w:r w:rsidRPr="00A4411B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357D77" w:rsidRPr="00A4411B" w:rsidRDefault="00357D77" w:rsidP="00FE5A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 xml:space="preserve">19 декабрь 2019 </w:t>
            </w:r>
            <w:proofErr w:type="spellStart"/>
            <w:r w:rsidRPr="00A4411B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A441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57D77" w:rsidRPr="00A4411B" w:rsidRDefault="00357D77" w:rsidP="00FE5AC0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8"/>
                <w:szCs w:val="28"/>
                <w:lang w:eastAsia="en-US"/>
              </w:rPr>
            </w:pPr>
          </w:p>
          <w:p w:rsidR="00357D77" w:rsidRPr="00A4411B" w:rsidRDefault="00357D77" w:rsidP="00FE5AC0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7D77" w:rsidRPr="00A4411B" w:rsidRDefault="00357D77" w:rsidP="00FE5AC0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>№  14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57D77" w:rsidRPr="00A4411B" w:rsidRDefault="00357D77" w:rsidP="00FE5AC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</w:p>
          <w:p w:rsidR="00357D77" w:rsidRPr="00A4411B" w:rsidRDefault="00357D77" w:rsidP="00FE5AC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 w:val="28"/>
                <w:szCs w:val="28"/>
                <w:lang w:eastAsia="en-US"/>
              </w:rPr>
            </w:pPr>
            <w:r w:rsidRPr="00A4411B">
              <w:rPr>
                <w:rFonts w:ascii="Arial New Bash" w:hAnsi="Arial New Bash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357D77" w:rsidRPr="00A4411B" w:rsidRDefault="00357D77" w:rsidP="00FE5AC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4411B">
              <w:rPr>
                <w:sz w:val="28"/>
                <w:szCs w:val="28"/>
                <w:lang w:eastAsia="en-US"/>
              </w:rPr>
              <w:t xml:space="preserve"> 19 декабря 2019 г.</w:t>
            </w:r>
          </w:p>
        </w:tc>
      </w:tr>
    </w:tbl>
    <w:p w:rsidR="00357D77" w:rsidRDefault="00357D77" w:rsidP="00357D7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57D77" w:rsidRDefault="00357D77" w:rsidP="00357D77">
      <w:pPr>
        <w:autoSpaceDE w:val="0"/>
        <w:autoSpaceDN w:val="0"/>
        <w:adjustRightInd w:val="0"/>
        <w:rPr>
          <w:sz w:val="28"/>
          <w:szCs w:val="28"/>
        </w:rPr>
      </w:pPr>
    </w:p>
    <w:p w:rsidR="00357D77" w:rsidRPr="00357D77" w:rsidRDefault="00357D77" w:rsidP="00357D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57D77">
        <w:rPr>
          <w:b/>
          <w:sz w:val="28"/>
          <w:szCs w:val="28"/>
        </w:rPr>
        <w:t>Об утверждении Перечня главных администраторов</w:t>
      </w:r>
    </w:p>
    <w:p w:rsidR="00357D77" w:rsidRPr="00357D77" w:rsidRDefault="00357D77" w:rsidP="00357D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57D77">
        <w:rPr>
          <w:b/>
          <w:sz w:val="28"/>
          <w:szCs w:val="28"/>
        </w:rPr>
        <w:t xml:space="preserve"> доходов бюджета сельского поселения </w:t>
      </w:r>
      <w:proofErr w:type="spellStart"/>
      <w:r w:rsidRPr="00357D77">
        <w:rPr>
          <w:b/>
          <w:sz w:val="28"/>
          <w:szCs w:val="28"/>
        </w:rPr>
        <w:t>Енгалышевский</w:t>
      </w:r>
      <w:proofErr w:type="spellEnd"/>
    </w:p>
    <w:p w:rsidR="00357D77" w:rsidRPr="00357D77" w:rsidRDefault="00357D77" w:rsidP="00357D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57D77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357D77">
        <w:rPr>
          <w:b/>
          <w:sz w:val="28"/>
          <w:szCs w:val="28"/>
        </w:rPr>
        <w:t>Чишминский</w:t>
      </w:r>
      <w:proofErr w:type="spellEnd"/>
      <w:r w:rsidRPr="00357D77">
        <w:rPr>
          <w:b/>
          <w:sz w:val="28"/>
          <w:szCs w:val="28"/>
        </w:rPr>
        <w:t xml:space="preserve"> район</w:t>
      </w:r>
    </w:p>
    <w:p w:rsidR="00357D77" w:rsidRPr="00357D77" w:rsidRDefault="00357D77" w:rsidP="00357D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57D77">
        <w:rPr>
          <w:b/>
          <w:sz w:val="28"/>
          <w:szCs w:val="28"/>
        </w:rPr>
        <w:t xml:space="preserve"> Республики Башкортостан, а также состава </w:t>
      </w:r>
      <w:proofErr w:type="gramStart"/>
      <w:r w:rsidRPr="00357D77">
        <w:rPr>
          <w:b/>
          <w:sz w:val="28"/>
          <w:szCs w:val="28"/>
        </w:rPr>
        <w:t>закрепляемых</w:t>
      </w:r>
      <w:proofErr w:type="gramEnd"/>
    </w:p>
    <w:p w:rsidR="00357D77" w:rsidRPr="00357D77" w:rsidRDefault="00357D77" w:rsidP="00357D7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57D77">
        <w:rPr>
          <w:b/>
          <w:sz w:val="28"/>
          <w:szCs w:val="28"/>
        </w:rPr>
        <w:t xml:space="preserve"> за ними видов (подвидов) доходов бюджета </w:t>
      </w:r>
    </w:p>
    <w:p w:rsidR="00357D77" w:rsidRPr="00357D77" w:rsidRDefault="00357D77" w:rsidP="00357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D77" w:rsidRPr="00357D77" w:rsidRDefault="00357D77" w:rsidP="00357D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D77" w:rsidRPr="00357D77" w:rsidRDefault="00357D77" w:rsidP="00357D7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Администрация сельского поселения </w:t>
      </w:r>
      <w:proofErr w:type="spellStart"/>
      <w:r w:rsidRPr="00357D77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357D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7D7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57D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57D77" w:rsidRPr="00357D77" w:rsidRDefault="00357D77" w:rsidP="00357D77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357D77">
        <w:rPr>
          <w:b/>
          <w:sz w:val="28"/>
          <w:szCs w:val="28"/>
        </w:rPr>
        <w:t>ПОСТАНОВЛЯЕТ:</w:t>
      </w:r>
    </w:p>
    <w:p w:rsidR="00357D77" w:rsidRPr="00357D77" w:rsidRDefault="00357D77" w:rsidP="00357D7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57D77">
        <w:rPr>
          <w:sz w:val="28"/>
          <w:szCs w:val="28"/>
        </w:rPr>
        <w:t xml:space="preserve">1. Утвердить прилагаемый Перечень главных администраторов доходов бюджета сельского поселения </w:t>
      </w:r>
      <w:proofErr w:type="spellStart"/>
      <w:r w:rsidRPr="00357D7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357D77">
        <w:rPr>
          <w:sz w:val="28"/>
          <w:szCs w:val="28"/>
        </w:rPr>
        <w:t xml:space="preserve">сельсовет муниципального района  </w:t>
      </w:r>
      <w:proofErr w:type="spellStart"/>
      <w:r w:rsidRPr="00357D77">
        <w:rPr>
          <w:sz w:val="28"/>
          <w:szCs w:val="28"/>
        </w:rPr>
        <w:t>Чишминский</w:t>
      </w:r>
      <w:proofErr w:type="spellEnd"/>
      <w:r w:rsidRPr="00357D77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357D77">
        <w:rPr>
          <w:sz w:val="28"/>
          <w:szCs w:val="28"/>
        </w:rPr>
        <w:t>Енгалышевский</w:t>
      </w:r>
      <w:proofErr w:type="spellEnd"/>
      <w:r w:rsidRPr="00357D77">
        <w:rPr>
          <w:sz w:val="28"/>
          <w:szCs w:val="28"/>
        </w:rPr>
        <w:t xml:space="preserve">  сельсовет муниципального района  </w:t>
      </w:r>
      <w:proofErr w:type="spellStart"/>
      <w:r w:rsidRPr="00357D77">
        <w:rPr>
          <w:sz w:val="28"/>
          <w:szCs w:val="28"/>
        </w:rPr>
        <w:t>Чишминский</w:t>
      </w:r>
      <w:proofErr w:type="spellEnd"/>
      <w:r w:rsidRPr="00357D77">
        <w:rPr>
          <w:sz w:val="28"/>
          <w:szCs w:val="28"/>
        </w:rPr>
        <w:t xml:space="preserve"> район Республики Башкортостан.</w:t>
      </w:r>
    </w:p>
    <w:p w:rsidR="00357D77" w:rsidRPr="00357D77" w:rsidRDefault="00357D77" w:rsidP="00357D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D77">
        <w:rPr>
          <w:sz w:val="28"/>
          <w:szCs w:val="28"/>
        </w:rPr>
        <w:t xml:space="preserve">2. Обеспечить доведение </w:t>
      </w:r>
      <w:proofErr w:type="gramStart"/>
      <w:r w:rsidRPr="00357D77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357D77">
        <w:rPr>
          <w:sz w:val="28"/>
          <w:szCs w:val="28"/>
        </w:rPr>
        <w:t xml:space="preserve"> </w:t>
      </w:r>
      <w:proofErr w:type="spellStart"/>
      <w:r w:rsidRPr="00357D77">
        <w:rPr>
          <w:sz w:val="28"/>
          <w:szCs w:val="28"/>
        </w:rPr>
        <w:t>Енгалышевский</w:t>
      </w:r>
      <w:proofErr w:type="spellEnd"/>
      <w:r w:rsidRPr="00357D77">
        <w:rPr>
          <w:sz w:val="28"/>
          <w:szCs w:val="28"/>
        </w:rPr>
        <w:t xml:space="preserve">  сельсовет муниципального района  </w:t>
      </w:r>
      <w:proofErr w:type="spellStart"/>
      <w:r w:rsidRPr="00357D77">
        <w:rPr>
          <w:sz w:val="28"/>
          <w:szCs w:val="28"/>
        </w:rPr>
        <w:t>Чишминский</w:t>
      </w:r>
      <w:proofErr w:type="spellEnd"/>
      <w:r w:rsidRPr="00357D77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357D77" w:rsidRPr="00357D77" w:rsidRDefault="00357D77" w:rsidP="00357D7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7D77">
        <w:rPr>
          <w:rFonts w:ascii="Times New Roman" w:hAnsi="Times New Roman" w:cs="Times New Roman"/>
          <w:sz w:val="28"/>
          <w:szCs w:val="28"/>
        </w:rPr>
        <w:t>Считать утратившим силу постановление главы от 11 декабря 2018</w:t>
      </w:r>
      <w:r>
        <w:rPr>
          <w:rFonts w:ascii="Times New Roman" w:hAnsi="Times New Roman" w:cs="Times New Roman"/>
          <w:sz w:val="28"/>
          <w:szCs w:val="28"/>
        </w:rPr>
        <w:t xml:space="preserve">  года № 157</w:t>
      </w:r>
      <w:r w:rsidRPr="00357D77">
        <w:rPr>
          <w:rFonts w:ascii="Times New Roman" w:hAnsi="Times New Roman" w:cs="Times New Roman"/>
          <w:sz w:val="28"/>
          <w:szCs w:val="28"/>
        </w:rPr>
        <w:t xml:space="preserve"> «Об утверждении перечня главных администраторов доходов бюджета сельского поселения</w:t>
      </w:r>
      <w:r w:rsidRPr="00357D77">
        <w:rPr>
          <w:sz w:val="28"/>
          <w:szCs w:val="28"/>
        </w:rPr>
        <w:t xml:space="preserve"> </w:t>
      </w:r>
      <w:proofErr w:type="spellStart"/>
      <w:r w:rsidRPr="00357D77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357D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57D7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57D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 w:rsidRPr="00357D77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357D77">
        <w:rPr>
          <w:sz w:val="28"/>
          <w:szCs w:val="28"/>
        </w:rPr>
        <w:t xml:space="preserve"> </w:t>
      </w:r>
      <w:r w:rsidRPr="00357D7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357D7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57D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  <w:proofErr w:type="gramEnd"/>
    </w:p>
    <w:p w:rsidR="00357D77" w:rsidRPr="00357D77" w:rsidRDefault="00357D77" w:rsidP="00357D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D77">
        <w:rPr>
          <w:sz w:val="28"/>
          <w:szCs w:val="28"/>
        </w:rPr>
        <w:t>4.  Настоящее постановление вступает в силу с 1 января 2020 года.</w:t>
      </w:r>
    </w:p>
    <w:p w:rsidR="00357D77" w:rsidRPr="00357D77" w:rsidRDefault="00357D77" w:rsidP="00357D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D77">
        <w:rPr>
          <w:sz w:val="28"/>
          <w:szCs w:val="28"/>
        </w:rPr>
        <w:t xml:space="preserve">5  </w:t>
      </w:r>
      <w:proofErr w:type="gramStart"/>
      <w:r w:rsidRPr="00357D77">
        <w:rPr>
          <w:sz w:val="28"/>
          <w:szCs w:val="28"/>
        </w:rPr>
        <w:t>Контроль за</w:t>
      </w:r>
      <w:proofErr w:type="gramEnd"/>
      <w:r w:rsidRPr="00357D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7D77" w:rsidRPr="00357D77" w:rsidRDefault="00357D77" w:rsidP="00357D77">
      <w:pPr>
        <w:rPr>
          <w:sz w:val="28"/>
          <w:szCs w:val="28"/>
        </w:rPr>
      </w:pPr>
    </w:p>
    <w:p w:rsidR="00357D77" w:rsidRPr="00357D77" w:rsidRDefault="00357D77" w:rsidP="00357D77">
      <w:pPr>
        <w:ind w:firstLine="708"/>
        <w:rPr>
          <w:sz w:val="28"/>
          <w:szCs w:val="28"/>
        </w:rPr>
      </w:pPr>
      <w:r w:rsidRPr="00357D77">
        <w:rPr>
          <w:sz w:val="28"/>
          <w:szCs w:val="28"/>
        </w:rPr>
        <w:t xml:space="preserve">Глава сельского поселения </w:t>
      </w:r>
    </w:p>
    <w:p w:rsidR="00357D77" w:rsidRDefault="00357D77" w:rsidP="00357D77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Pr="00357D77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          В.В. Ермолаев</w:t>
      </w:r>
    </w:p>
    <w:p w:rsidR="00357D77" w:rsidRDefault="00357D77" w:rsidP="00357D7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357D77" w:rsidRPr="00A15E1A" w:rsidRDefault="00357D77" w:rsidP="00357D77">
      <w:pPr>
        <w:ind w:left="540" w:firstLine="4860"/>
        <w:jc w:val="right"/>
      </w:pPr>
      <w:r>
        <w:rPr>
          <w:sz w:val="28"/>
          <w:szCs w:val="28"/>
        </w:rPr>
        <w:t xml:space="preserve">  </w:t>
      </w:r>
      <w:r w:rsidRPr="00A15E1A">
        <w:t>Утвержден</w:t>
      </w:r>
    </w:p>
    <w:p w:rsidR="00357D77" w:rsidRDefault="00357D77" w:rsidP="00357D77">
      <w:pPr>
        <w:ind w:left="540" w:firstLine="4500"/>
        <w:jc w:val="right"/>
      </w:pPr>
      <w:r w:rsidRPr="00A15E1A">
        <w:t xml:space="preserve"> постановлением </w:t>
      </w:r>
      <w:r>
        <w:t>А</w:t>
      </w:r>
      <w:r w:rsidRPr="00A15E1A">
        <w:t>дминистрации</w:t>
      </w:r>
    </w:p>
    <w:p w:rsidR="00357D77" w:rsidRDefault="00357D77" w:rsidP="00357D77">
      <w:pPr>
        <w:ind w:left="540" w:firstLine="4500"/>
        <w:jc w:val="right"/>
      </w:pPr>
      <w:r>
        <w:t xml:space="preserve">сельского поселения </w:t>
      </w:r>
      <w:proofErr w:type="spellStart"/>
      <w:r>
        <w:t>Енгалышевский</w:t>
      </w:r>
      <w:proofErr w:type="spellEnd"/>
    </w:p>
    <w:p w:rsidR="00357D77" w:rsidRDefault="00357D77" w:rsidP="00357D77">
      <w:pPr>
        <w:ind w:left="540" w:firstLine="4500"/>
        <w:jc w:val="right"/>
      </w:pPr>
      <w:r>
        <w:t>сельсовет муниципального района</w:t>
      </w:r>
    </w:p>
    <w:p w:rsidR="00357D77" w:rsidRPr="00A15E1A" w:rsidRDefault="00357D77" w:rsidP="00357D77">
      <w:pPr>
        <w:ind w:left="540" w:firstLine="4500"/>
        <w:jc w:val="right"/>
      </w:pPr>
      <w:proofErr w:type="spellStart"/>
      <w:r>
        <w:t>Чишминский</w:t>
      </w:r>
      <w:proofErr w:type="spellEnd"/>
      <w:r>
        <w:t xml:space="preserve"> район Республики </w:t>
      </w:r>
      <w:r>
        <w:br/>
        <w:t>Башкортостан</w:t>
      </w:r>
      <w:r w:rsidRPr="00A15E1A">
        <w:t xml:space="preserve"> </w:t>
      </w:r>
    </w:p>
    <w:p w:rsidR="00357D77" w:rsidRDefault="00357D77" w:rsidP="00357D77">
      <w:pPr>
        <w:ind w:left="540"/>
        <w:jc w:val="right"/>
      </w:pPr>
      <w:r w:rsidRPr="00A15E1A">
        <w:t xml:space="preserve">                                                                     от </w:t>
      </w:r>
      <w:r>
        <w:t>19</w:t>
      </w:r>
      <w:r w:rsidRPr="00A15E1A">
        <w:t xml:space="preserve"> </w:t>
      </w:r>
      <w:r>
        <w:t>декабр</w:t>
      </w:r>
      <w:r w:rsidRPr="00A15E1A">
        <w:t>я 201</w:t>
      </w:r>
      <w:r>
        <w:t>9</w:t>
      </w:r>
      <w:r w:rsidRPr="00A15E1A">
        <w:t xml:space="preserve"> г. № </w:t>
      </w:r>
      <w:r>
        <w:t>146</w:t>
      </w:r>
    </w:p>
    <w:p w:rsidR="00357D77" w:rsidRPr="00041071" w:rsidRDefault="00357D77" w:rsidP="00357D77">
      <w:pPr>
        <w:autoSpaceDE w:val="0"/>
        <w:autoSpaceDN w:val="0"/>
        <w:adjustRightInd w:val="0"/>
        <w:ind w:left="5387"/>
        <w:jc w:val="both"/>
        <w:rPr>
          <w:sz w:val="22"/>
          <w:szCs w:val="22"/>
        </w:rPr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357D77" w:rsidRPr="00357D77" w:rsidRDefault="00357D77" w:rsidP="00357D77">
      <w:pPr>
        <w:jc w:val="center"/>
        <w:rPr>
          <w:sz w:val="28"/>
          <w:szCs w:val="28"/>
        </w:rPr>
      </w:pPr>
      <w:r w:rsidRPr="00357D77">
        <w:rPr>
          <w:sz w:val="28"/>
          <w:szCs w:val="28"/>
        </w:rPr>
        <w:t>Перечень главных администраторов</w:t>
      </w:r>
    </w:p>
    <w:p w:rsidR="00357D77" w:rsidRDefault="00357D77" w:rsidP="00A37F80">
      <w:pPr>
        <w:jc w:val="center"/>
        <w:rPr>
          <w:sz w:val="28"/>
          <w:szCs w:val="28"/>
        </w:rPr>
      </w:pPr>
      <w:r w:rsidRPr="00357D77">
        <w:rPr>
          <w:sz w:val="28"/>
          <w:szCs w:val="28"/>
        </w:rPr>
        <w:t xml:space="preserve"> доходов бюджета сельского поселения </w:t>
      </w:r>
      <w:proofErr w:type="spellStart"/>
      <w:r w:rsidRPr="00357D77">
        <w:rPr>
          <w:sz w:val="28"/>
          <w:szCs w:val="28"/>
        </w:rPr>
        <w:t>Енгалышевский</w:t>
      </w:r>
      <w:proofErr w:type="spellEnd"/>
      <w:r w:rsidRPr="00357D77">
        <w:rPr>
          <w:sz w:val="28"/>
          <w:szCs w:val="28"/>
        </w:rPr>
        <w:t xml:space="preserve"> сельсовет муниципального района  </w:t>
      </w:r>
      <w:proofErr w:type="spellStart"/>
      <w:r w:rsidRPr="00357D77">
        <w:rPr>
          <w:sz w:val="28"/>
          <w:szCs w:val="28"/>
        </w:rPr>
        <w:t>Чишминский</w:t>
      </w:r>
      <w:proofErr w:type="spellEnd"/>
      <w:r w:rsidRPr="00357D77">
        <w:rPr>
          <w:sz w:val="28"/>
          <w:szCs w:val="28"/>
        </w:rPr>
        <w:t xml:space="preserve"> район Республики Башкортостан, а также состава закрепляемых за ними видов (подвидов) доходов бюджета</w:t>
      </w:r>
    </w:p>
    <w:p w:rsidR="00A37F80" w:rsidRPr="00A37F80" w:rsidRDefault="00A37F80" w:rsidP="00A37F80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6520"/>
      </w:tblGrid>
      <w:tr w:rsidR="00357D77" w:rsidRPr="00244433" w:rsidTr="00FE5AC0">
        <w:trPr>
          <w:trHeight w:val="698"/>
        </w:trPr>
        <w:tc>
          <w:tcPr>
            <w:tcW w:w="3369" w:type="dxa"/>
            <w:gridSpan w:val="2"/>
          </w:tcPr>
          <w:p w:rsidR="00357D77" w:rsidRPr="00244433" w:rsidRDefault="00357D77" w:rsidP="00FE5AC0">
            <w:pPr>
              <w:jc w:val="center"/>
            </w:pPr>
            <w:r w:rsidRPr="00244433"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357D77" w:rsidRPr="00244433" w:rsidRDefault="00357D77" w:rsidP="00FE5AC0">
            <w:pPr>
              <w:jc w:val="center"/>
            </w:pPr>
            <w:r w:rsidRPr="00244433">
              <w:t>Наименование</w:t>
            </w:r>
          </w:p>
        </w:tc>
      </w:tr>
      <w:tr w:rsidR="00357D77" w:rsidRPr="003E0236" w:rsidTr="00FE5AC0">
        <w:trPr>
          <w:trHeight w:val="698"/>
        </w:trPr>
        <w:tc>
          <w:tcPr>
            <w:tcW w:w="817" w:type="dxa"/>
          </w:tcPr>
          <w:p w:rsidR="00357D77" w:rsidRPr="003E0236" w:rsidRDefault="00357D77" w:rsidP="00FE5AC0">
            <w:pPr>
              <w:jc w:val="center"/>
            </w:pPr>
            <w:r>
              <w:t>Главного администратора</w:t>
            </w:r>
          </w:p>
        </w:tc>
        <w:tc>
          <w:tcPr>
            <w:tcW w:w="2552" w:type="dxa"/>
            <w:vAlign w:val="center"/>
          </w:tcPr>
          <w:p w:rsidR="00357D77" w:rsidRPr="003E0236" w:rsidRDefault="00357D77" w:rsidP="00FE5AC0">
            <w:pPr>
              <w:jc w:val="center"/>
            </w:pPr>
            <w:r w:rsidRPr="00D65BC9">
              <w:t>вида, подвида доходов бюджета</w:t>
            </w:r>
          </w:p>
        </w:tc>
        <w:tc>
          <w:tcPr>
            <w:tcW w:w="6520" w:type="dxa"/>
            <w:vMerge/>
          </w:tcPr>
          <w:p w:rsidR="00357D77" w:rsidRPr="003E0236" w:rsidRDefault="00357D77" w:rsidP="00FE5AC0">
            <w:pPr>
              <w:jc w:val="center"/>
            </w:pPr>
          </w:p>
        </w:tc>
      </w:tr>
      <w:tr w:rsidR="00357D77" w:rsidRPr="003E0236" w:rsidTr="00FE5AC0">
        <w:trPr>
          <w:trHeight w:val="357"/>
        </w:trPr>
        <w:tc>
          <w:tcPr>
            <w:tcW w:w="817" w:type="dxa"/>
          </w:tcPr>
          <w:p w:rsidR="00357D77" w:rsidRDefault="00357D77" w:rsidP="00FE5AC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357D77" w:rsidRPr="00D65BC9" w:rsidRDefault="00357D77" w:rsidP="00FE5AC0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357D77" w:rsidRPr="003E0236" w:rsidRDefault="00357D77" w:rsidP="00FE5AC0">
            <w:pPr>
              <w:jc w:val="center"/>
            </w:pPr>
            <w:r>
              <w:t>3</w:t>
            </w:r>
          </w:p>
        </w:tc>
      </w:tr>
      <w:tr w:rsidR="00357D77" w:rsidRPr="003E0236" w:rsidTr="00FE5AC0">
        <w:trPr>
          <w:trHeight w:val="357"/>
        </w:trPr>
        <w:tc>
          <w:tcPr>
            <w:tcW w:w="817" w:type="dxa"/>
          </w:tcPr>
          <w:p w:rsidR="00357D77" w:rsidRDefault="00357D77" w:rsidP="00FE5AC0">
            <w:pPr>
              <w:jc w:val="center"/>
            </w:pPr>
            <w:r>
              <w:t>791</w:t>
            </w:r>
          </w:p>
        </w:tc>
        <w:tc>
          <w:tcPr>
            <w:tcW w:w="9072" w:type="dxa"/>
            <w:gridSpan w:val="2"/>
          </w:tcPr>
          <w:p w:rsidR="00357D77" w:rsidRPr="00B5177E" w:rsidRDefault="00357D77" w:rsidP="00A37F80">
            <w:pPr>
              <w:jc w:val="center"/>
              <w:rPr>
                <w:b/>
              </w:rPr>
            </w:pPr>
            <w:r w:rsidRPr="00B5177E">
              <w:rPr>
                <w:b/>
              </w:rPr>
              <w:t xml:space="preserve">Администрация сельского поселения </w:t>
            </w:r>
            <w:proofErr w:type="spellStart"/>
            <w:r w:rsidR="00A37F80">
              <w:rPr>
                <w:b/>
              </w:rPr>
              <w:t>Енгалышевский</w:t>
            </w:r>
            <w:proofErr w:type="spellEnd"/>
            <w:r w:rsidRPr="00B5177E">
              <w:rPr>
                <w:b/>
              </w:rPr>
              <w:t xml:space="preserve"> сельсовет муниципального района </w:t>
            </w:r>
            <w:proofErr w:type="spellStart"/>
            <w:r w:rsidRPr="00B5177E">
              <w:rPr>
                <w:b/>
              </w:rPr>
              <w:t>Чишминский</w:t>
            </w:r>
            <w:proofErr w:type="spellEnd"/>
            <w:r w:rsidRPr="00B5177E">
              <w:rPr>
                <w:b/>
              </w:rPr>
              <w:t xml:space="preserve"> район республики Башкортостан</w:t>
            </w:r>
          </w:p>
        </w:tc>
      </w:tr>
      <w:tr w:rsidR="00357D77" w:rsidRPr="00216E78" w:rsidTr="00FE5AC0">
        <w:trPr>
          <w:trHeight w:val="170"/>
        </w:trPr>
        <w:tc>
          <w:tcPr>
            <w:tcW w:w="817" w:type="dxa"/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</w:tcPr>
          <w:p w:rsidR="00357D77" w:rsidRPr="00216E78" w:rsidRDefault="00357D77" w:rsidP="00FE5AC0">
            <w:pPr>
              <w:ind w:right="-75"/>
              <w:jc w:val="center"/>
            </w:pPr>
            <w:r w:rsidRPr="00216E78">
              <w:t>1 08 04020 01 1000 110</w:t>
            </w:r>
          </w:p>
        </w:tc>
        <w:tc>
          <w:tcPr>
            <w:tcW w:w="6520" w:type="dxa"/>
          </w:tcPr>
          <w:p w:rsidR="00357D77" w:rsidRPr="00216E78" w:rsidRDefault="00357D77" w:rsidP="00FE5AC0">
            <w:pPr>
              <w:ind w:firstLine="34"/>
              <w:jc w:val="both"/>
            </w:pPr>
            <w:proofErr w:type="gramStart"/>
            <w:r w:rsidRPr="00216E7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</w:tr>
      <w:tr w:rsidR="00357D77" w:rsidRPr="00216E78" w:rsidTr="00FE5AC0">
        <w:trPr>
          <w:trHeight w:val="170"/>
        </w:trPr>
        <w:tc>
          <w:tcPr>
            <w:tcW w:w="817" w:type="dxa"/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</w:tcPr>
          <w:p w:rsidR="00357D77" w:rsidRPr="00216E78" w:rsidRDefault="00357D77" w:rsidP="00FE5AC0">
            <w:pPr>
              <w:ind w:right="-75"/>
              <w:jc w:val="center"/>
            </w:pPr>
            <w:r w:rsidRPr="00216E78">
              <w:t>1 08 04020 01 4000 110</w:t>
            </w:r>
          </w:p>
        </w:tc>
        <w:tc>
          <w:tcPr>
            <w:tcW w:w="6520" w:type="dxa"/>
          </w:tcPr>
          <w:p w:rsidR="00357D77" w:rsidRPr="00216E78" w:rsidRDefault="00357D77" w:rsidP="00FE5AC0">
            <w:pPr>
              <w:ind w:firstLine="34"/>
              <w:jc w:val="both"/>
            </w:pPr>
            <w:r w:rsidRPr="00216E7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57D77" w:rsidRPr="00216E78" w:rsidTr="00FE5AC0">
        <w:trPr>
          <w:trHeight w:val="170"/>
        </w:trPr>
        <w:tc>
          <w:tcPr>
            <w:tcW w:w="817" w:type="dxa"/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</w:tcPr>
          <w:p w:rsidR="00357D77" w:rsidRPr="00216E78" w:rsidRDefault="00357D77" w:rsidP="00FE5AC0">
            <w:pPr>
              <w:ind w:right="-75"/>
              <w:jc w:val="center"/>
            </w:pPr>
            <w:r w:rsidRPr="00216E78">
              <w:t>1 11 09045 10 0000 120</w:t>
            </w:r>
          </w:p>
        </w:tc>
        <w:tc>
          <w:tcPr>
            <w:tcW w:w="6520" w:type="dxa"/>
          </w:tcPr>
          <w:p w:rsidR="00357D77" w:rsidRPr="00216E78" w:rsidRDefault="00357D77" w:rsidP="00FE5AC0">
            <w:pPr>
              <w:jc w:val="both"/>
            </w:pPr>
            <w:r w:rsidRPr="00216E7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7D77" w:rsidRPr="00216E78" w:rsidTr="00FE5AC0">
        <w:trPr>
          <w:trHeight w:val="170"/>
        </w:trPr>
        <w:tc>
          <w:tcPr>
            <w:tcW w:w="817" w:type="dxa"/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</w:tcPr>
          <w:p w:rsidR="00357D77" w:rsidRPr="00216E78" w:rsidRDefault="00357D77" w:rsidP="00FE5AC0">
            <w:pPr>
              <w:ind w:right="-75"/>
              <w:jc w:val="center"/>
            </w:pPr>
            <w:r w:rsidRPr="00216E78">
              <w:t>1 13 01995 10 0000 130</w:t>
            </w:r>
          </w:p>
        </w:tc>
        <w:tc>
          <w:tcPr>
            <w:tcW w:w="6520" w:type="dxa"/>
          </w:tcPr>
          <w:p w:rsidR="00357D77" w:rsidRPr="00216E78" w:rsidRDefault="00357D77" w:rsidP="00FE5AC0">
            <w:pPr>
              <w:jc w:val="both"/>
            </w:pPr>
            <w:r w:rsidRPr="00216E78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7D77" w:rsidRPr="00216E78" w:rsidTr="00FE5AC0">
        <w:trPr>
          <w:trHeight w:val="170"/>
        </w:trPr>
        <w:tc>
          <w:tcPr>
            <w:tcW w:w="817" w:type="dxa"/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</w:tcPr>
          <w:p w:rsidR="00357D77" w:rsidRPr="00216E78" w:rsidRDefault="00357D77" w:rsidP="00FE5AC0">
            <w:pPr>
              <w:ind w:right="-75"/>
              <w:jc w:val="center"/>
            </w:pPr>
            <w:r w:rsidRPr="00216E78">
              <w:t>1 13 02065 10 0000 130</w:t>
            </w:r>
          </w:p>
        </w:tc>
        <w:tc>
          <w:tcPr>
            <w:tcW w:w="6520" w:type="dxa"/>
          </w:tcPr>
          <w:p w:rsidR="00357D77" w:rsidRPr="00216E78" w:rsidRDefault="00357D77" w:rsidP="00FE5AC0">
            <w:pPr>
              <w:ind w:firstLine="34"/>
              <w:jc w:val="both"/>
            </w:pPr>
            <w:r w:rsidRPr="00216E78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</w:pPr>
            <w:r w:rsidRPr="00216E78"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</w:pPr>
            <w:r w:rsidRPr="00216E78">
              <w:t>Прочие доходы от компенсации затрат бюджетов сельских поселений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</w:pPr>
            <w:r w:rsidRPr="00216E78">
              <w:t>1 16 07010 10 0000 140</w:t>
            </w:r>
          </w:p>
          <w:p w:rsidR="00357D77" w:rsidRPr="00216E78" w:rsidRDefault="00357D77" w:rsidP="00FE5AC0">
            <w:pPr>
              <w:pStyle w:val="a6"/>
              <w:ind w:right="-75" w:firstLine="0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</w:pPr>
            <w:proofErr w:type="gramStart"/>
            <w:r w:rsidRPr="00216E7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</w:pPr>
            <w:r w:rsidRPr="00216E78">
              <w:t>1 16 07030 10 0000 140</w:t>
            </w:r>
          </w:p>
          <w:p w:rsidR="00357D77" w:rsidRPr="00216E78" w:rsidRDefault="00357D77" w:rsidP="00FE5AC0">
            <w:pPr>
              <w:pStyle w:val="a6"/>
              <w:ind w:right="-75" w:firstLine="0"/>
              <w:jc w:val="left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</w:pPr>
            <w:r w:rsidRPr="00216E78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</w:pPr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ind w:right="-75"/>
            </w:pPr>
            <w:r w:rsidRPr="00216E78">
              <w:t>1 16 07040 10 0000 140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jc w:val="both"/>
            </w:pPr>
            <w:r w:rsidRPr="00216E78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</w:pPr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ind w:right="-75"/>
            </w:pPr>
            <w:r w:rsidRPr="00216E78">
              <w:t>1 16 07090 10 0000 140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jc w:val="both"/>
            </w:pPr>
            <w:r w:rsidRPr="00216E7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</w:pPr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ind w:right="-75"/>
            </w:pPr>
            <w:r w:rsidRPr="00216E78">
              <w:t>1 16 10031 10 0000 140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jc w:val="both"/>
            </w:pPr>
            <w:r w:rsidRPr="00216E78">
              <w:t xml:space="preserve">Возмещение ущерба при возникновении страховых случаев, когда </w:t>
            </w:r>
            <w:proofErr w:type="spellStart"/>
            <w:r w:rsidRPr="00216E78">
              <w:t>выгодоприобретателями</w:t>
            </w:r>
            <w:proofErr w:type="spellEnd"/>
            <w:r w:rsidRPr="00216E78">
              <w:t xml:space="preserve"> выступают получатели средств бюджета сельского поселения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ind w:right="-75"/>
            </w:pPr>
            <w:r w:rsidRPr="00216E78">
              <w:t>1 16 10032 10 0000 140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jc w:val="both"/>
            </w:pPr>
            <w:r w:rsidRPr="00216E78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ind w:right="-75"/>
            </w:pPr>
            <w:r w:rsidRPr="00216E78">
              <w:t>1 16 10081 10 0000 140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jc w:val="both"/>
            </w:pPr>
            <w:r w:rsidRPr="00216E78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ind w:right="-108"/>
            </w:pPr>
            <w:r w:rsidRPr="00216E78">
              <w:t>1 16 10082 10 0000 140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jc w:val="both"/>
            </w:pPr>
            <w:r w:rsidRPr="00216E78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ind w:right="-108"/>
            </w:pPr>
            <w:r w:rsidRPr="00216E78">
              <w:t xml:space="preserve"> 1 16 10123 01 0001 140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tabs>
                <w:tab w:val="left" w:pos="552"/>
              </w:tabs>
              <w:jc w:val="both"/>
            </w:pPr>
            <w:r w:rsidRPr="00216E7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spacing w:after="120"/>
              <w:ind w:right="-108"/>
            </w:pPr>
            <w:r w:rsidRPr="00216E78">
              <w:t xml:space="preserve"> 1 16 10123 01 0002 140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tabs>
                <w:tab w:val="left" w:pos="552"/>
              </w:tabs>
              <w:jc w:val="both"/>
            </w:pPr>
            <w:r w:rsidRPr="00216E7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1 17 14030 10 0000 150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1 18 05000 10 0000 150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1 18 05200 10 0000 150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108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2 02 49999 10 5497 150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2 02 49999 10 5555 150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4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2 02 49999 10 5675 150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4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2 02 49999 10 7201 150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4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2 02 49999 10 7220 150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4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2 02 49999 10 7221 150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4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2 02 49999 10 7222 150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4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2 02 49999 10 7231 150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2 02 49999 10 7235 150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2 02 90054 10 0000 150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2 07 05020 10 0000 150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lastRenderedPageBreak/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2 07 05030 10 6100 150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2 07 05030 10 6200 150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2 07 05030 10 6300 150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2 18 05010 10 0000 150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2 18 05020 10 0000 150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2 18 05030 10 0000 150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2 18 60020 10 0000 150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57D77" w:rsidRPr="00216E78" w:rsidTr="00FE5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r w:rsidRPr="00216E78"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right="-75"/>
              <w:jc w:val="center"/>
              <w:rPr>
                <w:color w:val="000000"/>
              </w:rPr>
            </w:pPr>
            <w:r w:rsidRPr="00216E78">
              <w:rPr>
                <w:color w:val="000000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D77" w:rsidRPr="00216E78" w:rsidRDefault="00357D77" w:rsidP="00FE5AC0">
            <w:pPr>
              <w:ind w:firstLine="34"/>
              <w:jc w:val="both"/>
              <w:rPr>
                <w:color w:val="000000"/>
              </w:rPr>
            </w:pPr>
            <w:r w:rsidRPr="00216E7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57D77" w:rsidRPr="00216E78" w:rsidRDefault="00357D77" w:rsidP="00357D77">
      <w:pPr>
        <w:rPr>
          <w:i/>
        </w:rPr>
      </w:pPr>
    </w:p>
    <w:p w:rsidR="0028196A" w:rsidRDefault="0028196A"/>
    <w:sectPr w:rsidR="0028196A" w:rsidSect="00357D77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A37F80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A37F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A37F80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614A1" w:rsidRDefault="00A37F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77"/>
    <w:rsid w:val="0028196A"/>
    <w:rsid w:val="00357D77"/>
    <w:rsid w:val="00A3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357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rsid w:val="0035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7D77"/>
  </w:style>
  <w:style w:type="paragraph" w:styleId="a6">
    <w:name w:val="Body Text Indent"/>
    <w:basedOn w:val="a"/>
    <w:link w:val="a7"/>
    <w:rsid w:val="00357D77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57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D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2019-12-19T03:55:00Z</cp:lastPrinted>
  <dcterms:created xsi:type="dcterms:W3CDTF">2019-12-19T03:45:00Z</dcterms:created>
  <dcterms:modified xsi:type="dcterms:W3CDTF">2019-12-19T04:01:00Z</dcterms:modified>
</cp:coreProperties>
</file>