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D5" w:rsidRDefault="00E02CD5" w:rsidP="00E02CD5">
      <w:pPr>
        <w:pStyle w:val="a3"/>
        <w:rPr>
          <w:lang w:val="ru-RU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E02CD5" w:rsidTr="008023A1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02CD5" w:rsidRDefault="00E02CD5" w:rsidP="008023A1">
            <w:pPr>
              <w:pStyle w:val="a3"/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E02CD5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E02CD5" w:rsidRPr="00FC097B" w:rsidTr="008023A1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02CD5" w:rsidRPr="00FC097B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E02CD5" w:rsidRPr="00FC097B" w:rsidRDefault="00E02CD5" w:rsidP="008023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FC097B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E02CD5" w:rsidRPr="00FC097B" w:rsidRDefault="00E02CD5" w:rsidP="00E02C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FC097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</w:t>
            </w:r>
            <w:r w:rsidRPr="00FC097B">
              <w:rPr>
                <w:sz w:val="28"/>
                <w:szCs w:val="28"/>
                <w:lang w:eastAsia="en-US"/>
              </w:rPr>
              <w:t>ябрь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C097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097B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FC097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02CD5" w:rsidRPr="00FC097B" w:rsidRDefault="00E02CD5" w:rsidP="008023A1">
            <w:pPr>
              <w:widowControl w:val="0"/>
              <w:autoSpaceDE w:val="0"/>
              <w:autoSpaceDN w:val="0"/>
              <w:spacing w:line="276" w:lineRule="auto"/>
              <w:ind w:firstLine="720"/>
              <w:jc w:val="center"/>
              <w:rPr>
                <w:i/>
                <w:caps/>
                <w:sz w:val="28"/>
                <w:szCs w:val="28"/>
                <w:lang w:eastAsia="en-US"/>
              </w:rPr>
            </w:pPr>
          </w:p>
          <w:p w:rsidR="00E02CD5" w:rsidRPr="00FC097B" w:rsidRDefault="00E02CD5" w:rsidP="00802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2CD5" w:rsidRPr="00FC097B" w:rsidRDefault="00E02CD5" w:rsidP="00E02CD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59 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02CD5" w:rsidRPr="00FC097B" w:rsidRDefault="00E02CD5" w:rsidP="008023A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E02CD5" w:rsidRPr="00FC097B" w:rsidRDefault="00E02CD5" w:rsidP="008023A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FC097B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E02CD5" w:rsidRPr="00FC097B" w:rsidRDefault="00E02CD5" w:rsidP="008023A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ноября 2020</w:t>
            </w:r>
            <w:r w:rsidRPr="00FC097B">
              <w:rPr>
                <w:sz w:val="28"/>
                <w:szCs w:val="28"/>
                <w:lang w:eastAsia="en-US"/>
              </w:rPr>
              <w:t xml:space="preserve"> г.</w:t>
            </w:r>
          </w:p>
          <w:p w:rsidR="00E02CD5" w:rsidRPr="00FC097B" w:rsidRDefault="00E02CD5" w:rsidP="008023A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02CD5" w:rsidRPr="00DA0825" w:rsidRDefault="00E02CD5" w:rsidP="00E02CD5">
      <w:pPr>
        <w:pStyle w:val="a5"/>
        <w:rPr>
          <w:b/>
          <w:szCs w:val="28"/>
        </w:rPr>
      </w:pPr>
    </w:p>
    <w:p w:rsidR="00E02CD5" w:rsidRPr="00DA0825" w:rsidRDefault="00E02CD5" w:rsidP="00E02CD5">
      <w:pPr>
        <w:jc w:val="center"/>
        <w:rPr>
          <w:b/>
          <w:sz w:val="28"/>
          <w:szCs w:val="28"/>
        </w:rPr>
      </w:pPr>
      <w:r w:rsidRPr="00DA0825">
        <w:rPr>
          <w:b/>
          <w:sz w:val="28"/>
          <w:szCs w:val="28"/>
        </w:rPr>
        <w:t xml:space="preserve">О внесении изменений в бюджетный прогноз сельского поселения </w:t>
      </w:r>
      <w:r>
        <w:rPr>
          <w:b/>
          <w:sz w:val="28"/>
          <w:szCs w:val="28"/>
        </w:rPr>
        <w:t xml:space="preserve">Енгалышевский </w:t>
      </w:r>
      <w:r w:rsidRPr="00DA0825">
        <w:rPr>
          <w:b/>
          <w:sz w:val="28"/>
          <w:szCs w:val="28"/>
        </w:rPr>
        <w:t xml:space="preserve">сельсовет муниципального района Чишминский район Республики Башкортостан на долгосрочный период до 2025 года, утвержденный постановлением сельского поселения </w:t>
      </w:r>
      <w:r>
        <w:rPr>
          <w:b/>
          <w:sz w:val="28"/>
          <w:szCs w:val="28"/>
        </w:rPr>
        <w:t>Енгалышевский</w:t>
      </w:r>
      <w:r w:rsidRPr="00DA0825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>
        <w:rPr>
          <w:b/>
          <w:sz w:val="28"/>
          <w:szCs w:val="28"/>
        </w:rPr>
        <w:t>11 сентября</w:t>
      </w:r>
      <w:r w:rsidRPr="00DA0825">
        <w:rPr>
          <w:b/>
          <w:sz w:val="28"/>
          <w:szCs w:val="28"/>
        </w:rPr>
        <w:t xml:space="preserve"> 2019 года №</w:t>
      </w:r>
      <w:r>
        <w:rPr>
          <w:b/>
          <w:sz w:val="28"/>
          <w:szCs w:val="28"/>
        </w:rPr>
        <w:t xml:space="preserve"> 102</w:t>
      </w:r>
    </w:p>
    <w:p w:rsidR="00E02CD5" w:rsidRPr="00DA0825" w:rsidRDefault="00E02CD5" w:rsidP="00E02CD5">
      <w:pPr>
        <w:ind w:left="1009"/>
        <w:jc w:val="both"/>
        <w:rPr>
          <w:bCs/>
          <w:sz w:val="28"/>
          <w:szCs w:val="28"/>
        </w:rPr>
      </w:pPr>
    </w:p>
    <w:p w:rsidR="00E02CD5" w:rsidRPr="00DA0825" w:rsidRDefault="00E02CD5" w:rsidP="00E02CD5">
      <w:pPr>
        <w:ind w:left="1009"/>
        <w:jc w:val="both"/>
        <w:rPr>
          <w:bCs/>
          <w:sz w:val="28"/>
        </w:rPr>
      </w:pPr>
    </w:p>
    <w:p w:rsidR="00E02CD5" w:rsidRPr="00DA0825" w:rsidRDefault="00E02CD5" w:rsidP="00E02CD5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A0825">
        <w:rPr>
          <w:sz w:val="28"/>
          <w:szCs w:val="28"/>
          <w:lang w:eastAsia="en-US"/>
        </w:rPr>
        <w:t xml:space="preserve">В соответствии с абзацем 2 пункта 2 и пунктом 9 Порядка разработки и утверждения бюджетного прогноза сельского поселения </w:t>
      </w:r>
      <w:r>
        <w:rPr>
          <w:sz w:val="28"/>
          <w:szCs w:val="28"/>
          <w:lang w:eastAsia="en-US"/>
        </w:rPr>
        <w:t xml:space="preserve">Енгалышевский </w:t>
      </w:r>
      <w:r w:rsidRPr="00DA0825">
        <w:rPr>
          <w:sz w:val="28"/>
          <w:szCs w:val="28"/>
          <w:lang w:eastAsia="en-US"/>
        </w:rPr>
        <w:t xml:space="preserve">сельсовет муниципального района Чишминский район Республики Башкортостан на долгосрочный период, утвержденного постановлением Администрация сельского поселения </w:t>
      </w:r>
      <w:r>
        <w:rPr>
          <w:sz w:val="28"/>
          <w:szCs w:val="28"/>
          <w:lang w:eastAsia="en-US"/>
        </w:rPr>
        <w:t xml:space="preserve">Енгалышевский </w:t>
      </w:r>
      <w:r w:rsidRPr="00DA0825">
        <w:rPr>
          <w:sz w:val="28"/>
          <w:szCs w:val="28"/>
          <w:lang w:eastAsia="en-US"/>
        </w:rPr>
        <w:t xml:space="preserve">сельсовет муниципального района  Чишминский район Республики Башкортостан от </w:t>
      </w:r>
      <w:r>
        <w:rPr>
          <w:sz w:val="28"/>
          <w:szCs w:val="28"/>
          <w:lang w:eastAsia="en-US"/>
        </w:rPr>
        <w:t>11 сентября 2019 года № 102</w:t>
      </w:r>
      <w:r w:rsidRPr="00DA0825">
        <w:rPr>
          <w:sz w:val="28"/>
          <w:szCs w:val="28"/>
          <w:lang w:eastAsia="en-US"/>
        </w:rPr>
        <w:t xml:space="preserve">, Администрация сельского поселения </w:t>
      </w:r>
      <w:r>
        <w:rPr>
          <w:sz w:val="28"/>
          <w:szCs w:val="28"/>
          <w:lang w:eastAsia="en-US"/>
        </w:rPr>
        <w:t>Енгалышевский</w:t>
      </w:r>
      <w:r w:rsidRPr="00DA0825">
        <w:rPr>
          <w:sz w:val="28"/>
          <w:szCs w:val="28"/>
          <w:lang w:eastAsia="en-US"/>
        </w:rPr>
        <w:t xml:space="preserve"> сельсовет муниципального района  Чишминский район Республики Башкортостан</w:t>
      </w:r>
      <w:proofErr w:type="gramEnd"/>
    </w:p>
    <w:p w:rsidR="00E02CD5" w:rsidRPr="00DA0825" w:rsidRDefault="00E02CD5" w:rsidP="00E02CD5">
      <w:pPr>
        <w:rPr>
          <w:sz w:val="28"/>
          <w:szCs w:val="28"/>
        </w:rPr>
      </w:pPr>
    </w:p>
    <w:p w:rsidR="00E02CD5" w:rsidRPr="00DA0825" w:rsidRDefault="00E02CD5" w:rsidP="00E02CD5">
      <w:pPr>
        <w:ind w:left="567"/>
        <w:jc w:val="center"/>
        <w:rPr>
          <w:sz w:val="28"/>
          <w:szCs w:val="28"/>
        </w:rPr>
      </w:pPr>
      <w:r w:rsidRPr="00DA0825">
        <w:rPr>
          <w:sz w:val="28"/>
          <w:szCs w:val="28"/>
        </w:rPr>
        <w:t>ПОСТАНОВЛЯЕТ:</w:t>
      </w:r>
    </w:p>
    <w:p w:rsidR="00E02CD5" w:rsidRPr="00C4751D" w:rsidRDefault="00E02CD5" w:rsidP="00E02CD5">
      <w:pPr>
        <w:numPr>
          <w:ilvl w:val="0"/>
          <w:numId w:val="1"/>
        </w:numPr>
        <w:tabs>
          <w:tab w:val="clear" w:pos="927"/>
          <w:tab w:val="num" w:pos="993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proofErr w:type="gramStart"/>
      <w:r w:rsidRPr="00DA0825">
        <w:rPr>
          <w:sz w:val="28"/>
          <w:szCs w:val="28"/>
        </w:rPr>
        <w:t>Внести изменения в приложения №</w:t>
      </w:r>
      <w:r w:rsidR="00C4751D">
        <w:rPr>
          <w:sz w:val="28"/>
          <w:szCs w:val="28"/>
        </w:rPr>
        <w:t xml:space="preserve"> </w:t>
      </w:r>
      <w:r w:rsidRPr="00DA0825">
        <w:rPr>
          <w:sz w:val="28"/>
          <w:szCs w:val="28"/>
        </w:rPr>
        <w:t>1 и №</w:t>
      </w:r>
      <w:r w:rsidR="00C4751D">
        <w:rPr>
          <w:sz w:val="28"/>
          <w:szCs w:val="28"/>
        </w:rPr>
        <w:t xml:space="preserve"> </w:t>
      </w:r>
      <w:r w:rsidRPr="00DA0825">
        <w:rPr>
          <w:sz w:val="28"/>
          <w:szCs w:val="28"/>
        </w:rPr>
        <w:t xml:space="preserve">2 к бюджетному прогнозу сельского поселения </w:t>
      </w:r>
      <w:r>
        <w:rPr>
          <w:sz w:val="28"/>
          <w:szCs w:val="28"/>
          <w:lang w:eastAsia="en-US"/>
        </w:rPr>
        <w:t>Енгалышевский</w:t>
      </w:r>
      <w:r w:rsidRPr="00DA0825">
        <w:rPr>
          <w:sz w:val="28"/>
          <w:szCs w:val="28"/>
        </w:rPr>
        <w:t xml:space="preserve"> сельсовет муниципального района Чишминский район Республики Башкортостан на долгосрочный период до 2025 года, утвержденного  </w:t>
      </w:r>
      <w:r w:rsidRPr="00DA0825">
        <w:rPr>
          <w:sz w:val="28"/>
          <w:szCs w:val="28"/>
          <w:lang w:eastAsia="en-US"/>
        </w:rPr>
        <w:t xml:space="preserve">постановлением Администрация сельского поселения </w:t>
      </w:r>
      <w:r>
        <w:rPr>
          <w:sz w:val="28"/>
          <w:szCs w:val="28"/>
          <w:lang w:eastAsia="en-US"/>
        </w:rPr>
        <w:t>Енгалышевский</w:t>
      </w:r>
      <w:r w:rsidRPr="00DA0825">
        <w:rPr>
          <w:sz w:val="28"/>
          <w:szCs w:val="28"/>
          <w:lang w:eastAsia="en-US"/>
        </w:rPr>
        <w:t xml:space="preserve"> сельсовет муниципального района  Чишминский район Республики Башкортостан от</w:t>
      </w:r>
      <w:r>
        <w:rPr>
          <w:sz w:val="28"/>
          <w:szCs w:val="28"/>
          <w:lang w:eastAsia="en-US"/>
        </w:rPr>
        <w:t xml:space="preserve"> </w:t>
      </w:r>
      <w:r w:rsidRPr="00DA0825">
        <w:rPr>
          <w:sz w:val="28"/>
          <w:szCs w:val="28"/>
          <w:lang w:eastAsia="en-US"/>
        </w:rPr>
        <w:t xml:space="preserve"> 2019 года №</w:t>
      </w:r>
      <w:r w:rsidR="00C4751D">
        <w:rPr>
          <w:sz w:val="28"/>
          <w:szCs w:val="28"/>
          <w:lang w:eastAsia="en-US"/>
        </w:rPr>
        <w:t>102</w:t>
      </w:r>
      <w:r w:rsidRPr="00DA0825">
        <w:rPr>
          <w:sz w:val="28"/>
          <w:szCs w:val="28"/>
          <w:lang w:eastAsia="en-US"/>
        </w:rPr>
        <w:t xml:space="preserve">, </w:t>
      </w:r>
      <w:r w:rsidRPr="00DA0825">
        <w:rPr>
          <w:sz w:val="28"/>
          <w:szCs w:val="28"/>
        </w:rPr>
        <w:t>и изложить в новой редакции согласно приложениям №</w:t>
      </w:r>
      <w:r w:rsidR="00C4751D">
        <w:rPr>
          <w:sz w:val="28"/>
          <w:szCs w:val="28"/>
        </w:rPr>
        <w:t xml:space="preserve"> </w:t>
      </w:r>
      <w:r w:rsidRPr="00DA0825">
        <w:rPr>
          <w:sz w:val="28"/>
          <w:szCs w:val="28"/>
        </w:rPr>
        <w:t>1 и №</w:t>
      </w:r>
      <w:r w:rsidR="00C4751D">
        <w:rPr>
          <w:sz w:val="28"/>
          <w:szCs w:val="28"/>
        </w:rPr>
        <w:t xml:space="preserve"> </w:t>
      </w:r>
      <w:r w:rsidRPr="00DA0825">
        <w:rPr>
          <w:sz w:val="28"/>
          <w:szCs w:val="28"/>
        </w:rPr>
        <w:t>2 к настоящему постановлению.</w:t>
      </w:r>
      <w:proofErr w:type="gramEnd"/>
    </w:p>
    <w:p w:rsidR="00E02CD5" w:rsidRPr="00DA0825" w:rsidRDefault="00E02CD5" w:rsidP="00C4751D">
      <w:pPr>
        <w:pStyle w:val="ConsPlusTitle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bCs w:val="0"/>
          <w:sz w:val="28"/>
        </w:rPr>
      </w:pPr>
      <w:proofErr w:type="gramStart"/>
      <w:r w:rsidRPr="00C4751D">
        <w:rPr>
          <w:b w:val="0"/>
          <w:sz w:val="28"/>
          <w:szCs w:val="28"/>
        </w:rPr>
        <w:t>Контроль за</w:t>
      </w:r>
      <w:proofErr w:type="gramEnd"/>
      <w:r w:rsidRPr="00C4751D">
        <w:rPr>
          <w:b w:val="0"/>
          <w:sz w:val="28"/>
          <w:szCs w:val="28"/>
        </w:rPr>
        <w:t xml:space="preserve"> исполнением настоящего Постановления </w:t>
      </w:r>
      <w:r w:rsidR="00C4751D">
        <w:rPr>
          <w:b w:val="0"/>
          <w:sz w:val="28"/>
          <w:szCs w:val="28"/>
        </w:rPr>
        <w:t>оставляю за собой.</w:t>
      </w:r>
    </w:p>
    <w:p w:rsidR="00E02CD5" w:rsidRPr="00DA0825" w:rsidRDefault="00E02CD5" w:rsidP="00E02CD5">
      <w:pPr>
        <w:ind w:left="709"/>
        <w:jc w:val="both"/>
        <w:rPr>
          <w:bCs/>
          <w:sz w:val="28"/>
        </w:rPr>
      </w:pPr>
    </w:p>
    <w:p w:rsidR="00C4751D" w:rsidRDefault="00C4751D" w:rsidP="00C4751D">
      <w:pPr>
        <w:rPr>
          <w:bCs/>
          <w:sz w:val="28"/>
        </w:rPr>
      </w:pPr>
    </w:p>
    <w:p w:rsidR="00E02CD5" w:rsidRPr="00DA0825" w:rsidRDefault="00E02CD5" w:rsidP="00C4751D">
      <w:pPr>
        <w:rPr>
          <w:bCs/>
          <w:sz w:val="28"/>
        </w:rPr>
      </w:pPr>
      <w:r w:rsidRPr="00DA0825">
        <w:rPr>
          <w:bCs/>
          <w:sz w:val="28"/>
        </w:rPr>
        <w:t xml:space="preserve">Глава </w:t>
      </w:r>
      <w:r w:rsidRPr="00DA0825">
        <w:rPr>
          <w:sz w:val="28"/>
          <w:szCs w:val="28"/>
        </w:rPr>
        <w:t>сельского поселения</w:t>
      </w:r>
      <w:r w:rsidRPr="00DA0825">
        <w:rPr>
          <w:bCs/>
          <w:sz w:val="28"/>
        </w:rPr>
        <w:t xml:space="preserve">        </w:t>
      </w:r>
      <w:r w:rsidR="00C4751D">
        <w:rPr>
          <w:bCs/>
          <w:sz w:val="28"/>
        </w:rPr>
        <w:t xml:space="preserve">                                         Ф.Г. Бадретдинов</w:t>
      </w:r>
      <w:r w:rsidRPr="00DA0825">
        <w:rPr>
          <w:bCs/>
          <w:sz w:val="28"/>
        </w:rPr>
        <w:t xml:space="preserve">        </w:t>
      </w:r>
      <w:r w:rsidRPr="00DA0825">
        <w:rPr>
          <w:bCs/>
          <w:sz w:val="28"/>
        </w:rPr>
        <w:tab/>
      </w:r>
      <w:r w:rsidRPr="00DA0825">
        <w:rPr>
          <w:bCs/>
          <w:sz w:val="28"/>
        </w:rPr>
        <w:tab/>
        <w:t xml:space="preserve">    </w:t>
      </w:r>
    </w:p>
    <w:p w:rsidR="00E02CD5" w:rsidRPr="00DA0825" w:rsidRDefault="00E02CD5" w:rsidP="00E02CD5">
      <w:pPr>
        <w:ind w:firstLine="709"/>
        <w:rPr>
          <w:bCs/>
          <w:sz w:val="28"/>
        </w:rPr>
      </w:pPr>
    </w:p>
    <w:p w:rsidR="00E02CD5" w:rsidRPr="00DA0825" w:rsidRDefault="00E02CD5" w:rsidP="00C4751D">
      <w:pPr>
        <w:rPr>
          <w:bCs/>
          <w:sz w:val="28"/>
        </w:rPr>
        <w:sectPr w:rsidR="00E02CD5" w:rsidRPr="00DA0825" w:rsidSect="00E02CD5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960"/>
        <w:gridCol w:w="1436"/>
        <w:gridCol w:w="371"/>
        <w:gridCol w:w="1057"/>
        <w:gridCol w:w="214"/>
        <w:gridCol w:w="1197"/>
        <w:gridCol w:w="1340"/>
        <w:gridCol w:w="386"/>
        <w:gridCol w:w="284"/>
        <w:gridCol w:w="519"/>
        <w:gridCol w:w="615"/>
        <w:gridCol w:w="673"/>
        <w:gridCol w:w="129"/>
        <w:gridCol w:w="634"/>
        <w:gridCol w:w="508"/>
        <w:gridCol w:w="920"/>
        <w:gridCol w:w="351"/>
        <w:gridCol w:w="1060"/>
        <w:gridCol w:w="260"/>
        <w:gridCol w:w="1080"/>
        <w:gridCol w:w="300"/>
        <w:gridCol w:w="889"/>
        <w:gridCol w:w="283"/>
        <w:gridCol w:w="992"/>
      </w:tblGrid>
      <w:tr w:rsidR="00E02CD5" w:rsidRPr="00DA0825" w:rsidTr="00C4751D">
        <w:trPr>
          <w:gridAfter w:val="2"/>
          <w:wAfter w:w="12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Приложение №1</w:t>
            </w:r>
          </w:p>
          <w:p w:rsidR="00C4751D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 xml:space="preserve">к постановлению Администрации сельского поселения Енгалышевский сельсовет </w:t>
            </w:r>
          </w:p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 xml:space="preserve">от </w:t>
            </w:r>
            <w:r w:rsidR="00C4751D">
              <w:rPr>
                <w:sz w:val="20"/>
                <w:szCs w:val="20"/>
              </w:rPr>
              <w:t xml:space="preserve">16 ноября  2020 г. </w:t>
            </w:r>
            <w:r w:rsidRPr="00DA0825">
              <w:rPr>
                <w:sz w:val="20"/>
                <w:szCs w:val="20"/>
              </w:rPr>
              <w:t xml:space="preserve">№ </w:t>
            </w:r>
            <w:r w:rsidR="00C4751D">
              <w:rPr>
                <w:sz w:val="20"/>
                <w:szCs w:val="20"/>
              </w:rPr>
              <w:t>59</w:t>
            </w:r>
          </w:p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Приложение №1</w:t>
            </w:r>
          </w:p>
        </w:tc>
      </w:tr>
      <w:tr w:rsidR="00E02CD5" w:rsidRPr="00DA0825" w:rsidTr="00C4751D">
        <w:trPr>
          <w:gridAfter w:val="2"/>
          <w:wAfter w:w="12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к бюджетному прогнозу</w:t>
            </w:r>
          </w:p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 xml:space="preserve">сельского поселения </w:t>
            </w:r>
          </w:p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Енгалышевский сельсовет</w:t>
            </w:r>
          </w:p>
        </w:tc>
      </w:tr>
      <w:tr w:rsidR="00E02CD5" w:rsidRPr="00DA0825" w:rsidTr="00C4751D">
        <w:trPr>
          <w:gridAfter w:val="2"/>
          <w:wAfter w:w="12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 xml:space="preserve">муниципального района </w:t>
            </w:r>
          </w:p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 xml:space="preserve">Чишминский район </w:t>
            </w:r>
          </w:p>
        </w:tc>
      </w:tr>
      <w:tr w:rsidR="00E02CD5" w:rsidRPr="00DA0825" w:rsidTr="00C4751D">
        <w:trPr>
          <w:gridAfter w:val="2"/>
          <w:wAfter w:w="12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на период до 2025 года</w:t>
            </w:r>
          </w:p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</w:p>
        </w:tc>
      </w:tr>
      <w:tr w:rsidR="00E02CD5" w:rsidRPr="00DA0825" w:rsidTr="00C4751D">
        <w:trPr>
          <w:gridAfter w:val="2"/>
          <w:wAfter w:w="1275" w:type="dxa"/>
          <w:trHeight w:val="60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Прогноз основных характеристик бюджета сельского поселения Енгалышевский сельсовет муниципального района Чишминский район Республики Башкортостан на долгосрочный период до 2025 года</w:t>
            </w:r>
          </w:p>
        </w:tc>
      </w:tr>
      <w:tr w:rsidR="00E02CD5" w:rsidRPr="00DA0825" w:rsidTr="00C4751D">
        <w:trPr>
          <w:gridAfter w:val="2"/>
          <w:wAfter w:w="1275" w:type="dxa"/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r w:rsidRPr="00DA0825">
              <w:t>тыс. руб.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№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Оценка 2020 год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2021 год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2022 год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2023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jc w:val="center"/>
              <w:rPr>
                <w:b/>
              </w:rPr>
            </w:pPr>
            <w:r w:rsidRPr="00C4751D">
              <w:rPr>
                <w:b/>
              </w:rPr>
              <w:t>2025 год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1.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Доходы бюджета –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5 792,8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4012,4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2818,4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2893,2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2948,7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3008,4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1.1.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- 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2198,5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1982,6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1988,0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1991,0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2032,0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2072,0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1.2.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- неналоговые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207,7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222,0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222,5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223,0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224,2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225,1</w:t>
            </w:r>
          </w:p>
        </w:tc>
      </w:tr>
      <w:tr w:rsidR="00E02CD5" w:rsidRPr="00DA0825" w:rsidTr="00C4751D">
        <w:trPr>
          <w:gridAfter w:val="2"/>
          <w:wAfter w:w="1275" w:type="dxa"/>
          <w:trHeight w:val="18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1.3.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- безвозмездные поступления -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3386,6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1807,8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607,9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679,2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692,5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711,3</w:t>
            </w:r>
          </w:p>
        </w:tc>
      </w:tr>
      <w:tr w:rsidR="00E02CD5" w:rsidRPr="00DA0825" w:rsidTr="00C4751D">
        <w:trPr>
          <w:gridAfter w:val="2"/>
          <w:wAfter w:w="1275" w:type="dxa"/>
          <w:trHeight w:val="7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1.3.1.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 xml:space="preserve">- не </w:t>
            </w:r>
            <w:proofErr w:type="gramStart"/>
            <w:r w:rsidRPr="00DA0825">
              <w:t>имеющих</w:t>
            </w:r>
            <w:proofErr w:type="gramEnd"/>
            <w:r w:rsidRPr="00DA0825">
              <w:t xml:space="preserve"> целевого назначения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1024,7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464,5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518,5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586,4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598,0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615,0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1.3.2.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 xml:space="preserve">- </w:t>
            </w:r>
            <w:proofErr w:type="gramStart"/>
            <w:r w:rsidRPr="00DA0825">
              <w:t>имеющих</w:t>
            </w:r>
            <w:proofErr w:type="gramEnd"/>
            <w:r w:rsidRPr="00DA0825">
              <w:t xml:space="preserve"> целевое назначение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2 361,9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1343,3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89,4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92,8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94,5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96,3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2.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Расходы бюджета – всего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5 864,6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4 012,4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2 818,4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2 893,2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2948,7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3008,4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в том числе: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2.1.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За счет средств бюджета не имеющих целевого назначения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1 024,7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464,5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518,5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586,4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right"/>
            </w:pPr>
            <w:r w:rsidRPr="00C4751D">
              <w:t>598,0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615,0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2.2.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За счет средств безвозмездных поступлений имеющих целевое назначение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2 417,5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1 343,3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89,4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92,8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C4751D" w:rsidRDefault="00E02CD5" w:rsidP="008023A1">
            <w:pPr>
              <w:jc w:val="right"/>
            </w:pPr>
            <w:r w:rsidRPr="00C4751D">
              <w:t>94,5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  <w:r w:rsidRPr="00DA0825">
              <w:t>96,3</w:t>
            </w:r>
          </w:p>
        </w:tc>
      </w:tr>
      <w:tr w:rsidR="00E02CD5" w:rsidRPr="00DA0825" w:rsidTr="00C4751D">
        <w:trPr>
          <w:gridAfter w:val="2"/>
          <w:wAfter w:w="127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3.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Дефицит (</w:t>
            </w:r>
            <w:proofErr w:type="spellStart"/>
            <w:r w:rsidRPr="00DA0825">
              <w:t>профицит</w:t>
            </w:r>
            <w:proofErr w:type="spellEnd"/>
            <w:r w:rsidRPr="00DA0825">
              <w:t>)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D5" w:rsidRPr="00C4751D" w:rsidRDefault="00E02CD5" w:rsidP="008023A1">
            <w:r w:rsidRPr="00C4751D">
              <w:t xml:space="preserve">     -71,8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D5" w:rsidRPr="00C4751D" w:rsidRDefault="00E02CD5" w:rsidP="008023A1">
            <w:r w:rsidRPr="00C4751D">
              <w:t xml:space="preserve">                  -  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D5" w:rsidRPr="00C4751D" w:rsidRDefault="00E02CD5" w:rsidP="008023A1">
            <w:r w:rsidRPr="00C4751D">
              <w:t xml:space="preserve">                  -    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D5" w:rsidRPr="00C4751D" w:rsidRDefault="00E02CD5" w:rsidP="008023A1">
            <w:r w:rsidRPr="00C4751D">
              <w:t xml:space="preserve">               -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D5" w:rsidRPr="00C4751D" w:rsidRDefault="00E02CD5" w:rsidP="008023A1">
            <w:r w:rsidRPr="00C4751D">
              <w:t xml:space="preserve">              -   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r w:rsidRPr="00DA0825">
              <w:t xml:space="preserve">                  -     </w:t>
            </w: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4.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right"/>
            </w:pPr>
          </w:p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5.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r w:rsidRPr="00DA0825">
              <w:t>Источники финансирования дефицита бюджета - всего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71,8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</w:tr>
      <w:tr w:rsidR="00E02CD5" w:rsidRPr="00DA0825" w:rsidTr="00C4751D">
        <w:trPr>
          <w:gridAfter w:val="2"/>
          <w:wAfter w:w="1275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в том числе: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CD5" w:rsidRPr="00DA0825" w:rsidRDefault="00E02CD5" w:rsidP="008023A1"/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CD5" w:rsidRPr="00DA0825" w:rsidRDefault="00E02CD5" w:rsidP="008023A1"/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CD5" w:rsidRPr="00DA0825" w:rsidRDefault="00E02CD5" w:rsidP="008023A1"/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CD5" w:rsidRPr="00DA0825" w:rsidRDefault="00E02CD5" w:rsidP="008023A1"/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CD5" w:rsidRPr="00DA0825" w:rsidRDefault="00E02CD5" w:rsidP="008023A1"/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5.1.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r w:rsidRPr="00DA0825">
              <w:t>Изменение остатков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71,8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6.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r w:rsidRPr="00DA0825"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7.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r w:rsidRPr="00DA0825">
              <w:t>Объем муниципальных заимствований в соответствующем финансовом году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8.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r w:rsidRPr="00DA0825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</w:tr>
      <w:tr w:rsidR="00E02CD5" w:rsidRPr="00DA0825" w:rsidTr="00C4751D">
        <w:trPr>
          <w:gridAfter w:val="2"/>
          <w:wAfter w:w="1275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9.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r w:rsidRPr="00DA0825">
              <w:t>Объем расходов на обслуживание муниципального долга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D5" w:rsidRPr="00DA0825" w:rsidRDefault="00E02CD5" w:rsidP="008023A1"/>
        </w:tc>
      </w:tr>
      <w:tr w:rsidR="00C4751D" w:rsidRPr="00DA0825" w:rsidTr="00C4751D">
        <w:trPr>
          <w:gridAfter w:val="14"/>
          <w:wAfter w:w="86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/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/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/>
        </w:tc>
      </w:tr>
      <w:tr w:rsidR="00C4751D" w:rsidRPr="00DA0825" w:rsidTr="008023A1">
        <w:trPr>
          <w:gridAfter w:val="11"/>
          <w:wAfter w:w="727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/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/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8023A1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C47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D5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A0825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2</w:t>
            </w:r>
          </w:p>
          <w:p w:rsidR="00C4751D" w:rsidRPr="00DA0825" w:rsidRDefault="00C4751D" w:rsidP="00C4751D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 xml:space="preserve">к постановлению Администрации сельского поселения Енгалышевский сельсовет от </w:t>
            </w:r>
            <w:r>
              <w:rPr>
                <w:sz w:val="20"/>
                <w:szCs w:val="20"/>
              </w:rPr>
              <w:t xml:space="preserve">16 ноября 2020 </w:t>
            </w:r>
            <w:r w:rsidRPr="00DA082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59</w:t>
            </w:r>
          </w:p>
          <w:p w:rsidR="00C4751D" w:rsidRPr="00DA0825" w:rsidRDefault="00C4751D" w:rsidP="00C4751D">
            <w:pPr>
              <w:jc w:val="right"/>
              <w:rPr>
                <w:sz w:val="20"/>
                <w:szCs w:val="20"/>
              </w:rPr>
            </w:pPr>
          </w:p>
          <w:p w:rsidR="00C4751D" w:rsidRPr="00DA0825" w:rsidRDefault="00C4751D" w:rsidP="00C47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DA0825">
              <w:rPr>
                <w:sz w:val="20"/>
                <w:szCs w:val="20"/>
              </w:rPr>
              <w:t>Приложение №2</w:t>
            </w: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к бюджетному прогнозу</w:t>
            </w:r>
          </w:p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сельского поселения Енгалышевский сельсовет</w:t>
            </w: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муниципального района Чишминский район</w:t>
            </w: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right"/>
              <w:rPr>
                <w:sz w:val="20"/>
                <w:szCs w:val="20"/>
              </w:rPr>
            </w:pPr>
            <w:r w:rsidRPr="00DA0825">
              <w:rPr>
                <w:sz w:val="20"/>
                <w:szCs w:val="20"/>
              </w:rPr>
              <w:t>на период до 2025 года</w:t>
            </w: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</w:tr>
      <w:tr w:rsidR="00E02CD5" w:rsidRPr="00DA0825" w:rsidTr="008023A1">
        <w:trPr>
          <w:gridAfter w:val="1"/>
          <w:wAfter w:w="992" w:type="dxa"/>
          <w:trHeight w:val="645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Показатели финансового обеспечения муниципальных программ сельского поселения Енгалышевский сельсовет муниципального района Чишминский район Республики Башкортостан на долгосрочный период до 2025 года</w:t>
            </w: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r w:rsidRPr="00DA0825">
              <w:t>тыс. руб.</w:t>
            </w:r>
          </w:p>
        </w:tc>
      </w:tr>
      <w:tr w:rsidR="00E02CD5" w:rsidRPr="00DA0825" w:rsidTr="008023A1">
        <w:trPr>
          <w:gridAfter w:val="1"/>
          <w:wAfter w:w="992" w:type="dxa"/>
          <w:trHeight w:val="1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№</w:t>
            </w:r>
          </w:p>
        </w:tc>
        <w:tc>
          <w:tcPr>
            <w:tcW w:w="6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Наименование показателя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Оценка 2020 год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2021 год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2022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2023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2024 год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2025 год</w:t>
            </w:r>
          </w:p>
        </w:tc>
      </w:tr>
      <w:tr w:rsidR="00E02CD5" w:rsidRPr="00DA0825" w:rsidTr="008023A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1.</w:t>
            </w:r>
          </w:p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Расходы бюджета – всего</w:t>
            </w:r>
          </w:p>
        </w:tc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5 864,6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4 012,4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2 818,4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2 893,2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2 948,7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3 008,4</w:t>
            </w:r>
          </w:p>
        </w:tc>
        <w:tc>
          <w:tcPr>
            <w:tcW w:w="992" w:type="dxa"/>
            <w:vAlign w:val="bottom"/>
          </w:tcPr>
          <w:p w:rsidR="00E02CD5" w:rsidRPr="00DA0825" w:rsidRDefault="00E02CD5" w:rsidP="008023A1">
            <w:pPr>
              <w:jc w:val="right"/>
            </w:pPr>
          </w:p>
        </w:tc>
      </w:tr>
      <w:tr w:rsidR="00E02CD5" w:rsidRPr="00DA0825" w:rsidTr="008023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в том числе: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992" w:type="dxa"/>
            <w:vAlign w:val="center"/>
          </w:tcPr>
          <w:p w:rsidR="00E02CD5" w:rsidRPr="00DA0825" w:rsidRDefault="00E02CD5" w:rsidP="008023A1"/>
        </w:tc>
      </w:tr>
      <w:tr w:rsidR="00E02CD5" w:rsidRPr="00DA0825" w:rsidTr="008023A1">
        <w:trPr>
          <w:gridAfter w:val="1"/>
          <w:wAfter w:w="992" w:type="dxa"/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1.1.</w:t>
            </w:r>
          </w:p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r w:rsidRPr="00DA0825">
              <w:t>Расходы на реализацию муниципальных программ - всего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5 864,6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4 012,4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2 751,8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2 759,8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2 948,7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</w:tr>
      <w:tr w:rsidR="00E02CD5" w:rsidRPr="00DA0825" w:rsidTr="008023A1">
        <w:trPr>
          <w:gridAfter w:val="1"/>
          <w:wAfter w:w="992" w:type="dxa"/>
          <w:trHeight w:val="8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1.1.1.</w:t>
            </w:r>
          </w:p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r w:rsidRPr="00C4751D">
              <w:t>Муниципальная программа "Комплексное развитие территории сельского поселения Енгалышевский сельсовет муниципального района Чишминский район Республики Башкортостан" на 2019-2024 годы, из них: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5 864,6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4 012,4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2 751,8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2 759,8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2 948,7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</w:tr>
      <w:tr w:rsidR="00E02CD5" w:rsidRPr="00DA0825" w:rsidTr="008023A1">
        <w:trPr>
          <w:gridAfter w:val="1"/>
          <w:wAfter w:w="992" w:type="dxa"/>
          <w:trHeight w:val="1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rPr>
                <w:iCs/>
              </w:rPr>
            </w:pPr>
            <w:r w:rsidRPr="00C4751D">
              <w:rPr>
                <w:iCs/>
              </w:rPr>
              <w:t>средства федерального бюджета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</w:pPr>
            <w:r w:rsidRPr="00C4751D">
              <w:t>93,6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</w:pPr>
            <w:r w:rsidRPr="00C4751D">
              <w:t>88,5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89,4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92,8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C4751D" w:rsidRDefault="00E02CD5" w:rsidP="008023A1">
            <w:pPr>
              <w:jc w:val="center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rPr>
                <w:iCs/>
              </w:rPr>
            </w:pPr>
            <w:r w:rsidRPr="00C4751D">
              <w:rPr>
                <w:iCs/>
              </w:rPr>
              <w:t>средства бюджета Республики Башкортостан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1 331,2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  <w:rPr>
                <w:i/>
                <w:iCs/>
              </w:rPr>
            </w:pP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D5" w:rsidRPr="00DA0825" w:rsidRDefault="00E02CD5" w:rsidP="008023A1"/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C4751D" w:rsidRDefault="00E02CD5" w:rsidP="008023A1">
            <w:pPr>
              <w:rPr>
                <w:iCs/>
              </w:rPr>
            </w:pPr>
            <w:r w:rsidRPr="00C4751D">
              <w:rPr>
                <w:iCs/>
              </w:rPr>
              <w:t>средства местного бюджета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4 439,8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3 423,9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2 662,4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C4751D" w:rsidRDefault="00E02CD5" w:rsidP="008023A1">
            <w:pPr>
              <w:jc w:val="center"/>
              <w:rPr>
                <w:iCs/>
              </w:rPr>
            </w:pPr>
            <w:r w:rsidRPr="00C4751D">
              <w:rPr>
                <w:iCs/>
              </w:rPr>
              <w:t>2 667,0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C4751D" w:rsidRDefault="00E02CD5" w:rsidP="008023A1">
            <w:pPr>
              <w:jc w:val="center"/>
            </w:pPr>
            <w:r w:rsidRPr="00C4751D">
              <w:t>2 948,7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</w:tr>
      <w:tr w:rsidR="00E02CD5" w:rsidRPr="00DA0825" w:rsidTr="008023A1">
        <w:trPr>
          <w:gridAfter w:val="1"/>
          <w:wAfter w:w="992" w:type="dxa"/>
          <w:trHeight w:val="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1.2.</w:t>
            </w:r>
          </w:p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proofErr w:type="spellStart"/>
            <w:r w:rsidRPr="00DA0825">
              <w:t>Непрограммные</w:t>
            </w:r>
            <w:proofErr w:type="spellEnd"/>
            <w:r w:rsidRPr="00DA0825">
              <w:t xml:space="preserve"> расходы бюджета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D5" w:rsidRPr="00DA0825" w:rsidRDefault="00E02CD5" w:rsidP="008023A1">
            <w:pPr>
              <w:jc w:val="center"/>
            </w:pPr>
            <w:r w:rsidRPr="00DA0825">
              <w:t>3 008,4</w:t>
            </w: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center"/>
            </w:pPr>
            <w:r w:rsidRPr="00DA0825">
              <w:t>1.3.</w:t>
            </w:r>
          </w:p>
        </w:tc>
        <w:tc>
          <w:tcPr>
            <w:tcW w:w="6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5" w:rsidRPr="00DA0825" w:rsidRDefault="00E02CD5" w:rsidP="008023A1">
            <w:pPr>
              <w:jc w:val="both"/>
            </w:pPr>
            <w:r w:rsidRPr="00DA0825">
              <w:t>Условно утвержденные расходы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  <w:r w:rsidRPr="00DA0825">
              <w:t>66,6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  <w:r w:rsidRPr="00DA0825">
              <w:t>133,4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D5" w:rsidRPr="00DA0825" w:rsidRDefault="00E02CD5" w:rsidP="008023A1">
            <w:pPr>
              <w:jc w:val="center"/>
            </w:pPr>
          </w:p>
        </w:tc>
      </w:tr>
      <w:tr w:rsidR="00E02CD5" w:rsidRPr="00DA0825" w:rsidTr="008023A1">
        <w:trPr>
          <w:gridAfter w:val="1"/>
          <w:wAfter w:w="99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>
            <w:pPr>
              <w:jc w:val="center"/>
            </w:pPr>
          </w:p>
        </w:tc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5" w:rsidRPr="00DA0825" w:rsidRDefault="00E02CD5" w:rsidP="008023A1"/>
        </w:tc>
      </w:tr>
    </w:tbl>
    <w:p w:rsidR="00E02CD5" w:rsidRDefault="00E02CD5" w:rsidP="00E02CD5"/>
    <w:p w:rsidR="0091224C" w:rsidRDefault="0091224C"/>
    <w:sectPr w:rsidR="0091224C" w:rsidSect="0039305F">
      <w:pgSz w:w="16838" w:h="11906" w:orient="landscape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D5"/>
    <w:rsid w:val="000B7553"/>
    <w:rsid w:val="0035794F"/>
    <w:rsid w:val="0050312C"/>
    <w:rsid w:val="0091224C"/>
    <w:rsid w:val="00C4751D"/>
    <w:rsid w:val="00DD5BA4"/>
    <w:rsid w:val="00E02CD5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E02CD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E02C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E02CD5"/>
    <w:pPr>
      <w:spacing w:after="120"/>
    </w:pPr>
  </w:style>
  <w:style w:type="character" w:customStyle="1" w:styleId="a6">
    <w:name w:val="Основной текст Знак"/>
    <w:basedOn w:val="a0"/>
    <w:link w:val="a5"/>
    <w:rsid w:val="00E02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2020-12-16T10:36:00Z</cp:lastPrinted>
  <dcterms:created xsi:type="dcterms:W3CDTF">2020-11-16T09:33:00Z</dcterms:created>
  <dcterms:modified xsi:type="dcterms:W3CDTF">2020-12-16T10:36:00Z</dcterms:modified>
</cp:coreProperties>
</file>